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20CA" w14:textId="28571A20" w:rsidR="005434EB" w:rsidRDefault="00F64789" w:rsidP="00A55F5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Prolonged Time to Death Protocol </w:t>
      </w:r>
    </w:p>
    <w:p w14:paraId="41C028BD" w14:textId="59DF9BB7" w:rsidR="00F64789" w:rsidRPr="00F64789" w:rsidRDefault="00F64789" w:rsidP="00F64789">
      <w:pPr>
        <w:jc w:val="center"/>
        <w:rPr>
          <w:bCs/>
          <w:iCs/>
          <w:sz w:val="22"/>
          <w:szCs w:val="22"/>
        </w:rPr>
      </w:pPr>
      <w:r w:rsidRPr="00F64789">
        <w:rPr>
          <w:bCs/>
          <w:iCs/>
          <w:sz w:val="22"/>
          <w:szCs w:val="22"/>
        </w:rPr>
        <w:t>NOTE: These are suggestions. Each clinician must make their own care decisions</w:t>
      </w:r>
    </w:p>
    <w:p w14:paraId="57ACD6D3" w14:textId="77777777" w:rsidR="00A55F55" w:rsidRPr="00A55F55" w:rsidRDefault="00A55F55" w:rsidP="00A55F55">
      <w:pPr>
        <w:jc w:val="center"/>
        <w:rPr>
          <w:b/>
          <w:sz w:val="20"/>
          <w:szCs w:val="20"/>
          <w:lang w:bidi="ar-SA"/>
        </w:rPr>
      </w:pPr>
    </w:p>
    <w:p w14:paraId="1CBA36CB" w14:textId="68B82D6B" w:rsidR="005434EB" w:rsidRPr="00F64789" w:rsidRDefault="00A55F55" w:rsidP="00A55F55">
      <w:pPr>
        <w:numPr>
          <w:ilvl w:val="0"/>
          <w:numId w:val="2"/>
        </w:numPr>
        <w:rPr>
          <w:lang w:bidi="ar-SA"/>
        </w:rPr>
      </w:pPr>
      <w:r w:rsidRPr="00F64789">
        <w:rPr>
          <w:lang w:bidi="ar-SA"/>
        </w:rPr>
        <w:t xml:space="preserve">Indications: For a patient who has completed aid in dying medications </w:t>
      </w:r>
      <w:r w:rsidR="000D5A8A" w:rsidRPr="000D5A8A">
        <w:rPr>
          <w:color w:val="7030A0"/>
          <w:lang w:bidi="ar-SA"/>
        </w:rPr>
        <w:t xml:space="preserve">orally, and </w:t>
      </w:r>
      <w:r w:rsidRPr="00F64789">
        <w:rPr>
          <w:lang w:bidi="ar-SA"/>
        </w:rPr>
        <w:t xml:space="preserve">who at any time shows </w:t>
      </w:r>
      <w:r w:rsidR="006964D2" w:rsidRPr="00F64789">
        <w:rPr>
          <w:i/>
          <w:lang w:bidi="ar-SA"/>
        </w:rPr>
        <w:t>any</w:t>
      </w:r>
      <w:r w:rsidR="006964D2" w:rsidRPr="00F64789">
        <w:rPr>
          <w:lang w:bidi="ar-SA"/>
        </w:rPr>
        <w:t xml:space="preserve"> </w:t>
      </w:r>
      <w:r w:rsidRPr="00F64789">
        <w:rPr>
          <w:lang w:bidi="ar-SA"/>
        </w:rPr>
        <w:t xml:space="preserve">signs of consciousness or response to external stimuli – </w:t>
      </w:r>
      <w:r w:rsidR="00A05343" w:rsidRPr="00F64789">
        <w:rPr>
          <w:lang w:bidi="ar-SA"/>
        </w:rPr>
        <w:t>eyelash</w:t>
      </w:r>
      <w:r w:rsidRPr="00F64789">
        <w:rPr>
          <w:lang w:bidi="ar-SA"/>
        </w:rPr>
        <w:t xml:space="preserve"> reflexes, </w:t>
      </w:r>
      <w:r w:rsidR="00A05343" w:rsidRPr="00F64789">
        <w:rPr>
          <w:lang w:bidi="ar-SA"/>
        </w:rPr>
        <w:t>coughing, grimacing, facial or limb movements, groaning, tachypnea with signs of respiratory distress, or other signs of the patient becoming responsive</w:t>
      </w:r>
      <w:r w:rsidR="006964D2" w:rsidRPr="00F64789">
        <w:rPr>
          <w:lang w:bidi="ar-SA"/>
        </w:rPr>
        <w:t xml:space="preserve">, related to </w:t>
      </w:r>
      <w:r w:rsidR="00A05343" w:rsidRPr="00F64789">
        <w:rPr>
          <w:lang w:bidi="ar-SA"/>
        </w:rPr>
        <w:t>aid in dying medications wearing off</w:t>
      </w:r>
      <w:r w:rsidR="006964D2" w:rsidRPr="00F64789">
        <w:rPr>
          <w:lang w:bidi="ar-SA"/>
        </w:rPr>
        <w:t xml:space="preserve"> or to poor absorption or effect of aid-in-dying medications</w:t>
      </w:r>
      <w:r w:rsidR="00A05343" w:rsidRPr="00F64789">
        <w:rPr>
          <w:lang w:bidi="ar-SA"/>
        </w:rPr>
        <w:t xml:space="preserve">.  </w:t>
      </w:r>
    </w:p>
    <w:p w14:paraId="2ED4D0EE" w14:textId="77777777" w:rsidR="00A05343" w:rsidRPr="00F64789" w:rsidRDefault="00A05343" w:rsidP="00A05343">
      <w:pPr>
        <w:rPr>
          <w:lang w:bidi="ar-SA"/>
        </w:rPr>
      </w:pPr>
    </w:p>
    <w:p w14:paraId="3560035E" w14:textId="4220E4C3" w:rsidR="006964D2" w:rsidRPr="00F64789" w:rsidRDefault="006964D2" w:rsidP="00A05343">
      <w:pPr>
        <w:numPr>
          <w:ilvl w:val="0"/>
          <w:numId w:val="2"/>
        </w:numPr>
        <w:rPr>
          <w:lang w:bidi="ar-SA"/>
        </w:rPr>
      </w:pPr>
      <w:r w:rsidRPr="00F64789">
        <w:rPr>
          <w:lang w:bidi="ar-SA"/>
        </w:rPr>
        <w:t xml:space="preserve">Chart date/time, and “Failure of Medical Aid in Dying” so that self-administration rule no longer </w:t>
      </w:r>
      <w:r w:rsidR="009E1D31" w:rsidRPr="00F64789">
        <w:rPr>
          <w:lang w:bidi="ar-SA"/>
        </w:rPr>
        <w:t>applies,</w:t>
      </w:r>
      <w:r w:rsidRPr="00F64789">
        <w:rPr>
          <w:lang w:bidi="ar-SA"/>
        </w:rPr>
        <w:t xml:space="preserve"> and the patient is now receiving palliative care for terminal agitation. </w:t>
      </w:r>
    </w:p>
    <w:p w14:paraId="3F6DFCDF" w14:textId="77777777" w:rsidR="006964D2" w:rsidRPr="00F64789" w:rsidRDefault="006964D2" w:rsidP="006964D2">
      <w:pPr>
        <w:pStyle w:val="ListParagraph"/>
        <w:rPr>
          <w:lang w:bidi="ar-SA"/>
        </w:rPr>
      </w:pPr>
    </w:p>
    <w:p w14:paraId="1A908960" w14:textId="1A88E92B" w:rsidR="004220A5" w:rsidRDefault="004220A5" w:rsidP="004220A5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lang w:bidi="ar-SA"/>
        </w:rPr>
        <w:t xml:space="preserve">Sublingual medications: </w:t>
      </w:r>
    </w:p>
    <w:p w14:paraId="40A21FB2" w14:textId="70467D4E" w:rsidR="004220A5" w:rsidRPr="00D3624C" w:rsidRDefault="004220A5" w:rsidP="004220A5">
      <w:pPr>
        <w:numPr>
          <w:ilvl w:val="2"/>
          <w:numId w:val="2"/>
        </w:numPr>
        <w:rPr>
          <w:lang w:bidi="ar-SA"/>
        </w:rPr>
      </w:pPr>
      <w:r>
        <w:rPr>
          <w:lang w:bidi="ar-SA"/>
        </w:rPr>
        <w:t>T</w:t>
      </w:r>
      <w:r w:rsidRPr="00F64789">
        <w:rPr>
          <w:lang w:bidi="ar-SA"/>
        </w:rPr>
        <w:t>itrated to deep sedation but not with the intent of respiratory suppression</w:t>
      </w:r>
      <w:r w:rsidRPr="00D3624C">
        <w:rPr>
          <w:lang w:bidi="ar-SA"/>
        </w:rPr>
        <w:t xml:space="preserve"> </w:t>
      </w:r>
    </w:p>
    <w:p w14:paraId="26A6C682" w14:textId="77777777" w:rsidR="004220A5" w:rsidRPr="00D3624C" w:rsidRDefault="004220A5" w:rsidP="004220A5">
      <w:pPr>
        <w:numPr>
          <w:ilvl w:val="3"/>
          <w:numId w:val="2"/>
        </w:numPr>
        <w:rPr>
          <w:lang w:bidi="ar-SA"/>
        </w:rPr>
      </w:pPr>
      <w:r w:rsidRPr="00D3624C">
        <w:rPr>
          <w:lang w:bidi="ar-SA"/>
        </w:rPr>
        <w:t xml:space="preserve">Lorazepam </w:t>
      </w:r>
      <w:r>
        <w:rPr>
          <w:lang w:bidi="ar-SA"/>
        </w:rPr>
        <w:t xml:space="preserve">2 to </w:t>
      </w:r>
      <w:r w:rsidRPr="00D3624C">
        <w:rPr>
          <w:lang w:bidi="ar-SA"/>
        </w:rPr>
        <w:t xml:space="preserve">10mg </w:t>
      </w:r>
      <w:proofErr w:type="spellStart"/>
      <w:r w:rsidRPr="00D3624C">
        <w:rPr>
          <w:lang w:bidi="ar-SA"/>
        </w:rPr>
        <w:t>s.l.</w:t>
      </w:r>
      <w:proofErr w:type="spellEnd"/>
      <w:r>
        <w:rPr>
          <w:lang w:bidi="ar-SA"/>
        </w:rPr>
        <w:t xml:space="preserve">, q 15-30 min, </w:t>
      </w:r>
      <w:r w:rsidRPr="00D3624C">
        <w:rPr>
          <w:lang w:bidi="ar-SA"/>
        </w:rPr>
        <w:t>and/or</w:t>
      </w:r>
    </w:p>
    <w:p w14:paraId="671A30B5" w14:textId="77777777" w:rsidR="004220A5" w:rsidRPr="00D3624C" w:rsidRDefault="004220A5" w:rsidP="004220A5">
      <w:pPr>
        <w:numPr>
          <w:ilvl w:val="3"/>
          <w:numId w:val="2"/>
        </w:numPr>
        <w:rPr>
          <w:lang w:bidi="ar-SA"/>
        </w:rPr>
      </w:pPr>
      <w:r w:rsidRPr="00D3624C">
        <w:rPr>
          <w:lang w:bidi="ar-SA"/>
        </w:rPr>
        <w:t xml:space="preserve">Morphine 40 to 120mg </w:t>
      </w:r>
      <w:proofErr w:type="spellStart"/>
      <w:r w:rsidRPr="00D3624C">
        <w:rPr>
          <w:lang w:bidi="ar-SA"/>
        </w:rPr>
        <w:t>s.l.</w:t>
      </w:r>
      <w:proofErr w:type="spellEnd"/>
      <w:r w:rsidRPr="00D3624C">
        <w:rPr>
          <w:lang w:bidi="ar-SA"/>
        </w:rPr>
        <w:t xml:space="preserve">, </w:t>
      </w:r>
      <w:r>
        <w:rPr>
          <w:lang w:bidi="ar-SA"/>
        </w:rPr>
        <w:t>q 15-30</w:t>
      </w:r>
      <w:r w:rsidRPr="00D3624C">
        <w:rPr>
          <w:lang w:bidi="ar-SA"/>
        </w:rPr>
        <w:t xml:space="preserve"> minutes</w:t>
      </w:r>
    </w:p>
    <w:p w14:paraId="5C195E03" w14:textId="6D439F69" w:rsidR="000D5A8A" w:rsidRDefault="00F64789" w:rsidP="004220A5">
      <w:pPr>
        <w:pStyle w:val="ListParagraph"/>
        <w:numPr>
          <w:ilvl w:val="0"/>
          <w:numId w:val="2"/>
        </w:numPr>
        <w:rPr>
          <w:lang w:bidi="ar-SA"/>
        </w:rPr>
      </w:pPr>
      <w:r>
        <w:rPr>
          <w:lang w:bidi="ar-SA"/>
        </w:rPr>
        <w:t xml:space="preserve">Rectal medications: </w:t>
      </w:r>
      <w:r w:rsidR="00D823DD" w:rsidRPr="00F64789">
        <w:rPr>
          <w:lang w:bidi="ar-SA"/>
        </w:rPr>
        <w:t xml:space="preserve">Place rectal catheter  </w:t>
      </w:r>
    </w:p>
    <w:p w14:paraId="454BFB2D" w14:textId="642A7A15" w:rsidR="00D823DD" w:rsidRPr="00F64789" w:rsidRDefault="004220A5" w:rsidP="004220A5">
      <w:pPr>
        <w:numPr>
          <w:ilvl w:val="2"/>
          <w:numId w:val="2"/>
        </w:numPr>
        <w:rPr>
          <w:lang w:bidi="ar-SA"/>
        </w:rPr>
      </w:pPr>
      <w:r>
        <w:rPr>
          <w:lang w:bidi="ar-SA"/>
        </w:rPr>
        <w:t>Ti</w:t>
      </w:r>
      <w:r w:rsidR="000D5A8A" w:rsidRPr="00F64789">
        <w:rPr>
          <w:lang w:bidi="ar-SA"/>
        </w:rPr>
        <w:t>trated to deep sedation but not with the intent of respiratory suppression</w:t>
      </w:r>
    </w:p>
    <w:p w14:paraId="51E75183" w14:textId="14EC7E10" w:rsidR="00F64789" w:rsidRPr="00D3624C" w:rsidRDefault="00F64789" w:rsidP="004220A5">
      <w:pPr>
        <w:numPr>
          <w:ilvl w:val="3"/>
          <w:numId w:val="2"/>
        </w:numPr>
        <w:rPr>
          <w:lang w:bidi="ar-SA"/>
        </w:rPr>
      </w:pPr>
      <w:r w:rsidRPr="00D3624C">
        <w:rPr>
          <w:lang w:bidi="ar-SA"/>
        </w:rPr>
        <w:t xml:space="preserve">Lorazepam </w:t>
      </w:r>
      <w:r>
        <w:rPr>
          <w:lang w:bidi="ar-SA"/>
        </w:rPr>
        <w:t xml:space="preserve">2 to </w:t>
      </w:r>
      <w:r w:rsidRPr="00D3624C">
        <w:rPr>
          <w:lang w:bidi="ar-SA"/>
        </w:rPr>
        <w:t xml:space="preserve">10mg </w:t>
      </w:r>
      <w:r w:rsidR="000D5A8A">
        <w:rPr>
          <w:lang w:bidi="ar-SA"/>
        </w:rPr>
        <w:t>(if tablets, dissolve in 30mls water or juice)</w:t>
      </w:r>
      <w:r>
        <w:rPr>
          <w:lang w:bidi="ar-SA"/>
        </w:rPr>
        <w:t xml:space="preserve">, q 15-30 min, </w:t>
      </w:r>
      <w:r w:rsidRPr="00D3624C">
        <w:rPr>
          <w:lang w:bidi="ar-SA"/>
        </w:rPr>
        <w:t>and/or</w:t>
      </w:r>
    </w:p>
    <w:p w14:paraId="3A33022D" w14:textId="57412344" w:rsidR="00F64789" w:rsidRDefault="000D5A8A" w:rsidP="004220A5">
      <w:pPr>
        <w:numPr>
          <w:ilvl w:val="3"/>
          <w:numId w:val="2"/>
        </w:numPr>
        <w:rPr>
          <w:lang w:bidi="ar-SA"/>
        </w:rPr>
      </w:pPr>
      <w:r>
        <w:rPr>
          <w:lang w:bidi="ar-SA"/>
        </w:rPr>
        <w:t xml:space="preserve">Liquid </w:t>
      </w:r>
      <w:r w:rsidR="00F64789" w:rsidRPr="00D3624C">
        <w:rPr>
          <w:lang w:bidi="ar-SA"/>
        </w:rPr>
        <w:t xml:space="preserve">Morphine 40 to 120mg </w:t>
      </w:r>
      <w:proofErr w:type="spellStart"/>
      <w:r>
        <w:rPr>
          <w:lang w:bidi="ar-SA"/>
        </w:rPr>
        <w:t>p.r.</w:t>
      </w:r>
      <w:proofErr w:type="spellEnd"/>
      <w:r w:rsidR="00F64789" w:rsidRPr="00D3624C">
        <w:rPr>
          <w:lang w:bidi="ar-SA"/>
        </w:rPr>
        <w:t xml:space="preserve">, </w:t>
      </w:r>
      <w:r w:rsidR="00F64789">
        <w:rPr>
          <w:lang w:bidi="ar-SA"/>
        </w:rPr>
        <w:t>q 15-30</w:t>
      </w:r>
      <w:r w:rsidR="00F64789" w:rsidRPr="00D3624C">
        <w:rPr>
          <w:lang w:bidi="ar-SA"/>
        </w:rPr>
        <w:t xml:space="preserve"> minutes</w:t>
      </w:r>
      <w:r w:rsidR="00F64789">
        <w:rPr>
          <w:lang w:bidi="ar-SA"/>
        </w:rPr>
        <w:t>, and/or</w:t>
      </w:r>
    </w:p>
    <w:p w14:paraId="0EEFC4A4" w14:textId="133BC758" w:rsidR="00D823DD" w:rsidRPr="00F64789" w:rsidRDefault="00D823DD" w:rsidP="004220A5">
      <w:pPr>
        <w:numPr>
          <w:ilvl w:val="3"/>
          <w:numId w:val="2"/>
        </w:numPr>
        <w:rPr>
          <w:lang w:bidi="ar-SA"/>
        </w:rPr>
      </w:pPr>
      <w:r w:rsidRPr="00F64789">
        <w:rPr>
          <w:lang w:bidi="ar-SA"/>
        </w:rPr>
        <w:t>Chloral hydrate: 5-10gm q 5 to 10 minutes</w:t>
      </w:r>
      <w:r w:rsidR="008F38A5" w:rsidRPr="00F64789">
        <w:rPr>
          <w:lang w:bidi="ar-SA"/>
        </w:rPr>
        <w:t xml:space="preserve"> (each in about </w:t>
      </w:r>
      <w:r w:rsidR="001C20BC" w:rsidRPr="00F64789">
        <w:rPr>
          <w:lang w:bidi="ar-SA"/>
        </w:rPr>
        <w:t>60</w:t>
      </w:r>
      <w:r w:rsidR="008F38A5" w:rsidRPr="00F64789">
        <w:rPr>
          <w:lang w:bidi="ar-SA"/>
        </w:rPr>
        <w:t>cc of water or juice)</w:t>
      </w:r>
      <w:r w:rsidRPr="00F64789">
        <w:rPr>
          <w:lang w:bidi="ar-SA"/>
        </w:rPr>
        <w:t>, titrated to deep sedation but not with the intent of respiratory suppression</w:t>
      </w:r>
      <w:r w:rsidR="00F64789">
        <w:rPr>
          <w:lang w:bidi="ar-SA"/>
        </w:rPr>
        <w:t xml:space="preserve">, and/or </w:t>
      </w:r>
    </w:p>
    <w:p w14:paraId="1892B5A0" w14:textId="79E953A6" w:rsidR="000D5A8A" w:rsidRDefault="00F64789" w:rsidP="004220A5">
      <w:pPr>
        <w:numPr>
          <w:ilvl w:val="3"/>
          <w:numId w:val="2"/>
        </w:numPr>
        <w:rPr>
          <w:lang w:bidi="ar-SA"/>
        </w:rPr>
      </w:pPr>
      <w:r>
        <w:rPr>
          <w:lang w:bidi="ar-SA"/>
        </w:rPr>
        <w:t>P</w:t>
      </w:r>
      <w:r w:rsidR="00D823DD" w:rsidRPr="00F64789">
        <w:rPr>
          <w:lang w:bidi="ar-SA"/>
        </w:rPr>
        <w:t xml:space="preserve">henobarbital </w:t>
      </w:r>
      <w:r>
        <w:rPr>
          <w:lang w:bidi="ar-SA"/>
        </w:rPr>
        <w:t>2</w:t>
      </w:r>
      <w:r w:rsidR="00D823DD" w:rsidRPr="00F64789">
        <w:rPr>
          <w:lang w:bidi="ar-SA"/>
        </w:rPr>
        <w:t>00 to 1000mg rectally, Q</w:t>
      </w:r>
      <w:r>
        <w:rPr>
          <w:lang w:bidi="ar-SA"/>
        </w:rPr>
        <w:t>15-30</w:t>
      </w:r>
      <w:r w:rsidR="00D823DD" w:rsidRPr="00F64789">
        <w:rPr>
          <w:lang w:bidi="ar-SA"/>
        </w:rPr>
        <w:t xml:space="preserve"> minutes until deep sedation achieved but not with the intent of respiratory suppression. </w:t>
      </w:r>
    </w:p>
    <w:p w14:paraId="073AEE43" w14:textId="77777777" w:rsidR="000D5A8A" w:rsidRDefault="000D5A8A" w:rsidP="000D5A8A">
      <w:pPr>
        <w:ind w:left="2880"/>
        <w:rPr>
          <w:lang w:bidi="ar-SA"/>
        </w:rPr>
      </w:pPr>
    </w:p>
    <w:p w14:paraId="70E6F8A4" w14:textId="1975915D" w:rsidR="002100E2" w:rsidRPr="00F64789" w:rsidRDefault="00A05343" w:rsidP="004220A5">
      <w:pPr>
        <w:pStyle w:val="ListParagraph"/>
        <w:numPr>
          <w:ilvl w:val="0"/>
          <w:numId w:val="2"/>
        </w:numPr>
        <w:rPr>
          <w:lang w:bidi="ar-SA"/>
        </w:rPr>
      </w:pPr>
      <w:r w:rsidRPr="00F64789">
        <w:rPr>
          <w:lang w:bidi="ar-SA"/>
        </w:rPr>
        <w:t xml:space="preserve">If </w:t>
      </w:r>
      <w:r w:rsidR="00162ECF" w:rsidRPr="00F64789">
        <w:rPr>
          <w:lang w:bidi="ar-SA"/>
        </w:rPr>
        <w:t>the terminal agitation is prolonged (</w:t>
      </w:r>
      <w:r w:rsidR="002100E2" w:rsidRPr="00F64789">
        <w:rPr>
          <w:lang w:bidi="ar-SA"/>
        </w:rPr>
        <w:t>&gt; 4 to 8 hours</w:t>
      </w:r>
      <w:r w:rsidR="00162ECF" w:rsidRPr="00F64789">
        <w:rPr>
          <w:lang w:bidi="ar-SA"/>
        </w:rPr>
        <w:t xml:space="preserve">) and the patient needs continued sedation: </w:t>
      </w:r>
    </w:p>
    <w:p w14:paraId="67DDA27D" w14:textId="77777777" w:rsidR="002100E2" w:rsidRPr="00F64789" w:rsidRDefault="00162ECF" w:rsidP="004220A5">
      <w:pPr>
        <w:numPr>
          <w:ilvl w:val="2"/>
          <w:numId w:val="2"/>
        </w:numPr>
        <w:rPr>
          <w:lang w:bidi="ar-SA"/>
        </w:rPr>
      </w:pPr>
      <w:r w:rsidRPr="00F64789">
        <w:rPr>
          <w:lang w:bidi="ar-SA"/>
        </w:rPr>
        <w:t>Hospice patients: Contact hospice, ask for the RN and/or physician on call, and explai</w:t>
      </w:r>
      <w:r w:rsidR="002100E2" w:rsidRPr="00F64789">
        <w:rPr>
          <w:lang w:bidi="ar-SA"/>
        </w:rPr>
        <w:t>n the clinical circumstances</w:t>
      </w:r>
      <w:r w:rsidRPr="00F64789">
        <w:rPr>
          <w:lang w:bidi="ar-SA"/>
        </w:rPr>
        <w:t xml:space="preserve">.  If appropriate, request that they come to see the patient for “palliative sedation” and or continued treatment of terminal agitation. </w:t>
      </w:r>
    </w:p>
    <w:p w14:paraId="3CAF7971" w14:textId="7AD323A1" w:rsidR="002100E2" w:rsidRDefault="002100E2" w:rsidP="004220A5">
      <w:pPr>
        <w:numPr>
          <w:ilvl w:val="2"/>
          <w:numId w:val="2"/>
        </w:numPr>
        <w:rPr>
          <w:lang w:bidi="ar-SA"/>
        </w:rPr>
      </w:pPr>
      <w:r w:rsidRPr="00F64789">
        <w:rPr>
          <w:lang w:bidi="ar-SA"/>
        </w:rPr>
        <w:t>Non-hospice patients: C</w:t>
      </w:r>
      <w:r w:rsidR="00162ECF" w:rsidRPr="00F64789">
        <w:rPr>
          <w:lang w:bidi="ar-SA"/>
        </w:rPr>
        <w:t xml:space="preserve">ontact </w:t>
      </w:r>
      <w:r w:rsidRPr="00F64789">
        <w:rPr>
          <w:lang w:bidi="ar-SA"/>
        </w:rPr>
        <w:t xml:space="preserve">the </w:t>
      </w:r>
      <w:r w:rsidR="00F64789">
        <w:rPr>
          <w:lang w:bidi="ar-SA"/>
        </w:rPr>
        <w:t xml:space="preserve">aid-in-dying prescribing physician. </w:t>
      </w:r>
      <w:r w:rsidR="00162ECF" w:rsidRPr="00F64789">
        <w:rPr>
          <w:lang w:bidi="ar-SA"/>
        </w:rPr>
        <w:t xml:space="preserve"> </w:t>
      </w:r>
    </w:p>
    <w:p w14:paraId="110AC689" w14:textId="77777777" w:rsidR="000D5A8A" w:rsidRPr="00F64789" w:rsidRDefault="000D5A8A" w:rsidP="000D5A8A">
      <w:pPr>
        <w:ind w:left="2160"/>
        <w:rPr>
          <w:lang w:bidi="ar-SA"/>
        </w:rPr>
      </w:pPr>
    </w:p>
    <w:p w14:paraId="56DD6741" w14:textId="6206AC03" w:rsidR="00162ECF" w:rsidRPr="00F64789" w:rsidRDefault="00162ECF" w:rsidP="004220A5">
      <w:pPr>
        <w:pStyle w:val="ListParagraph"/>
        <w:numPr>
          <w:ilvl w:val="0"/>
          <w:numId w:val="2"/>
        </w:numPr>
        <w:rPr>
          <w:lang w:bidi="ar-SA"/>
        </w:rPr>
      </w:pPr>
      <w:r w:rsidRPr="00F64789">
        <w:rPr>
          <w:lang w:bidi="ar-SA"/>
        </w:rPr>
        <w:t xml:space="preserve">All of the above should be done with consideration of the “Double Effect,” i.e. </w:t>
      </w:r>
      <w:r w:rsidR="004220A5">
        <w:rPr>
          <w:lang w:bidi="ar-SA"/>
        </w:rPr>
        <w:t>you</w:t>
      </w:r>
      <w:r w:rsidRPr="00F64789">
        <w:rPr>
          <w:lang w:bidi="ar-SA"/>
        </w:rPr>
        <w:t xml:space="preserve"> are administering medications with the intent of patient comfort, not to stop respiration and/or heart function. </w:t>
      </w:r>
      <w:bookmarkStart w:id="0" w:name="_GoBack"/>
      <w:bookmarkEnd w:id="0"/>
    </w:p>
    <w:p w14:paraId="06CF036E" w14:textId="77777777" w:rsidR="00A05343" w:rsidRPr="00F64789" w:rsidRDefault="00A05343" w:rsidP="002100E2">
      <w:pPr>
        <w:ind w:left="2880"/>
        <w:rPr>
          <w:lang w:bidi="ar-SA"/>
        </w:rPr>
      </w:pPr>
      <w:r w:rsidRPr="00F64789">
        <w:rPr>
          <w:lang w:bidi="ar-SA"/>
        </w:rPr>
        <w:t xml:space="preserve"> </w:t>
      </w:r>
    </w:p>
    <w:sectPr w:rsidR="00A05343" w:rsidRPr="00F64789" w:rsidSect="000D5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2BD4" w14:textId="77777777" w:rsidR="008631EC" w:rsidRDefault="008631EC" w:rsidP="00E31EBA">
      <w:r>
        <w:separator/>
      </w:r>
    </w:p>
  </w:endnote>
  <w:endnote w:type="continuationSeparator" w:id="0">
    <w:p w14:paraId="2E8C2371" w14:textId="77777777" w:rsidR="008631EC" w:rsidRDefault="008631EC" w:rsidP="00E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8343" w14:textId="77777777" w:rsidR="008631EC" w:rsidRDefault="008631EC" w:rsidP="00E31EBA">
      <w:r>
        <w:separator/>
      </w:r>
    </w:p>
  </w:footnote>
  <w:footnote w:type="continuationSeparator" w:id="0">
    <w:p w14:paraId="46E055DD" w14:textId="77777777" w:rsidR="008631EC" w:rsidRDefault="008631EC" w:rsidP="00E3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D8F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D0090"/>
    <w:multiLevelType w:val="hybridMultilevel"/>
    <w:tmpl w:val="7772D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04C"/>
    <w:multiLevelType w:val="hybridMultilevel"/>
    <w:tmpl w:val="6D8AB7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96"/>
    <w:rsid w:val="00003898"/>
    <w:rsid w:val="00021A1B"/>
    <w:rsid w:val="000C522E"/>
    <w:rsid w:val="000D5A8A"/>
    <w:rsid w:val="000D68D7"/>
    <w:rsid w:val="000F1D89"/>
    <w:rsid w:val="00162ECF"/>
    <w:rsid w:val="001C20BC"/>
    <w:rsid w:val="001F7FCD"/>
    <w:rsid w:val="00207FD6"/>
    <w:rsid w:val="002100E2"/>
    <w:rsid w:val="002A5207"/>
    <w:rsid w:val="002F2080"/>
    <w:rsid w:val="00313591"/>
    <w:rsid w:val="00350D1F"/>
    <w:rsid w:val="004220A5"/>
    <w:rsid w:val="004A7C3F"/>
    <w:rsid w:val="00533EF0"/>
    <w:rsid w:val="005434EB"/>
    <w:rsid w:val="00547D24"/>
    <w:rsid w:val="00581E96"/>
    <w:rsid w:val="00583541"/>
    <w:rsid w:val="006964D2"/>
    <w:rsid w:val="006A24A8"/>
    <w:rsid w:val="006F4092"/>
    <w:rsid w:val="007C494E"/>
    <w:rsid w:val="007F29D7"/>
    <w:rsid w:val="007F7FB7"/>
    <w:rsid w:val="008442E5"/>
    <w:rsid w:val="008631EC"/>
    <w:rsid w:val="008E52C0"/>
    <w:rsid w:val="008F38A5"/>
    <w:rsid w:val="009B608F"/>
    <w:rsid w:val="009E1D31"/>
    <w:rsid w:val="009F2560"/>
    <w:rsid w:val="00A05343"/>
    <w:rsid w:val="00A31728"/>
    <w:rsid w:val="00A55F55"/>
    <w:rsid w:val="00AD5835"/>
    <w:rsid w:val="00B453E3"/>
    <w:rsid w:val="00B878BA"/>
    <w:rsid w:val="00BE03BD"/>
    <w:rsid w:val="00C34480"/>
    <w:rsid w:val="00C908B4"/>
    <w:rsid w:val="00D35CA8"/>
    <w:rsid w:val="00D60271"/>
    <w:rsid w:val="00D823DD"/>
    <w:rsid w:val="00D87064"/>
    <w:rsid w:val="00DE61A7"/>
    <w:rsid w:val="00E31EBA"/>
    <w:rsid w:val="00EC58E6"/>
    <w:rsid w:val="00ED1575"/>
    <w:rsid w:val="00F518AB"/>
    <w:rsid w:val="00F55EDD"/>
    <w:rsid w:val="00F64789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3EA2F"/>
  <w14:defaultImageDpi w14:val="300"/>
  <w15:chartTrackingRefBased/>
  <w15:docId w15:val="{7B64BC13-1998-436E-A9F9-2208776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F6A2F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A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6A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6A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6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6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6A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6A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F6A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F6A2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6A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F6A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6A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F6A2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F6A2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F6A2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3F6A2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6A2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F6A2F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F6A2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6A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A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F6A2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3F6A2F"/>
    <w:rPr>
      <w:b/>
      <w:bCs/>
    </w:rPr>
  </w:style>
  <w:style w:type="character" w:styleId="Emphasis">
    <w:name w:val="Emphasis"/>
    <w:uiPriority w:val="20"/>
    <w:qFormat/>
    <w:rsid w:val="003F6A2F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3F6A2F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3F6A2F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F6A2F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3F6A2F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F6A2F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3F6A2F"/>
    <w:rPr>
      <w:b/>
      <w:i/>
      <w:sz w:val="24"/>
    </w:rPr>
  </w:style>
  <w:style w:type="character" w:customStyle="1" w:styleId="PlainTable31">
    <w:name w:val="Plain Table 31"/>
    <w:uiPriority w:val="19"/>
    <w:qFormat/>
    <w:rsid w:val="003F6A2F"/>
    <w:rPr>
      <w:i/>
      <w:color w:val="5A5A5A"/>
    </w:rPr>
  </w:style>
  <w:style w:type="character" w:customStyle="1" w:styleId="PlainTable41">
    <w:name w:val="Plain Table 41"/>
    <w:uiPriority w:val="21"/>
    <w:qFormat/>
    <w:rsid w:val="003F6A2F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3F6A2F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3F6A2F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3F6A2F"/>
    <w:rPr>
      <w:rFonts w:ascii="Cambria" w:eastAsia="Times New Roman" w:hAnsi="Cambria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F6A2F"/>
    <w:pPr>
      <w:outlineLvl w:val="9"/>
    </w:pPr>
  </w:style>
  <w:style w:type="table" w:styleId="TableGrid">
    <w:name w:val="Table Grid"/>
    <w:basedOn w:val="TableNormal"/>
    <w:uiPriority w:val="59"/>
    <w:rsid w:val="00000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21374"/>
    <w:rPr>
      <w:color w:val="0000FF"/>
      <w:u w:val="single"/>
    </w:rPr>
  </w:style>
  <w:style w:type="character" w:styleId="UnresolvedMention">
    <w:name w:val="Unresolved Mention"/>
    <w:uiPriority w:val="47"/>
    <w:rsid w:val="009B60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053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mailto:info@BayAreaEndOfLifeOptions.com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cp:lastModifiedBy>Lonny Shavelson</cp:lastModifiedBy>
  <cp:revision>10</cp:revision>
  <cp:lastPrinted>2017-05-15T16:47:00Z</cp:lastPrinted>
  <dcterms:created xsi:type="dcterms:W3CDTF">2019-12-13T02:04:00Z</dcterms:created>
  <dcterms:modified xsi:type="dcterms:W3CDTF">2020-02-02T20:56:00Z</dcterms:modified>
</cp:coreProperties>
</file>